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302.07: Superintendent Civic Activities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br w:type="textWrapping"/>
        <w:t xml:space="preserve">The Tri-County Board encourages the superintendent to be involved in the school district community by belonging to school district community organizations and attending and participating in school district community activities.</w:t>
        <w:br w:type="textWrapping"/>
        <w:br w:type="textWrapping"/>
        <w:t xml:space="preserve">It is the responsibility of the superintendent to become involved in school district community activities and events.  It is within the discretion of the board to pay annual fees for professional organizations and activities.</w:t>
        <w:br w:type="textWrapping"/>
      </w:r>
      <w:r w:rsidDel="00000000" w:rsidR="00000000" w:rsidRPr="00000000">
        <w:rPr>
          <w:rtl w:val="0"/>
        </w:rPr>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 </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bl>
    <w:p w:rsidR="00000000" w:rsidDel="00000000" w:rsidP="00000000" w:rsidRDefault="00000000" w:rsidRPr="00000000" w14:paraId="00000010">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302.03</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8">
              <w:r w:rsidDel="00000000" w:rsidR="00000000" w:rsidRPr="00000000">
                <w:rPr>
                  <w:rFonts w:ascii="Lato" w:cs="Lato" w:eastAsia="Lato" w:hAnsi="Lato"/>
                  <w:color w:val="0563c1"/>
                  <w:u w:val="single"/>
                  <w:rtl w:val="0"/>
                </w:rPr>
                <w:t xml:space="preserve">Superintendent Salary and Other Compensation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303.08</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Administrator Civic Activities</w:t>
              </w:r>
            </w:hyperlink>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AIr98l5kDdHZgSH2LipSI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simbli.eboardsolutions.com/Policy/ViewPolicy.aspx?S=36031104&amp;revid=E5uPNfkNmbxPHnbEOEghv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W0vnJm3OiSm1+Adqj7l7rAiC9g==">CgMxLjAyCGguZ2pkZ3hzOAByITFRNUZwOEZyb2t4T2x6RzE0Y2RDMmRkNUxnYWtCaFZ5SQ==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2024-02-15T14:57:00Z</dcterms:created>
  <dc:creator>Linda Heisdorffer</dc:creator>
</cp:coreProperties>
</file>